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BC79" w14:textId="14B16D0C" w:rsidR="00F05A33" w:rsidRPr="00F05A33" w:rsidRDefault="00BF3B6F" w:rsidP="00F05A33">
      <w:pPr>
        <w:widowControl/>
        <w:shd w:val="clear" w:color="auto" w:fill="393939"/>
        <w:spacing w:line="555" w:lineRule="atLeast"/>
        <w:rPr>
          <w:rFonts w:ascii="微軟正黑體" w:eastAsia="微軟正黑體" w:hAnsi="微軟正黑體" w:cs="新細明體"/>
          <w:b/>
          <w:bCs/>
          <w:color w:val="FFFFFF"/>
          <w:spacing w:val="23"/>
          <w:kern w:val="0"/>
          <w:sz w:val="27"/>
          <w:szCs w:val="27"/>
        </w:rPr>
      </w:pPr>
      <w:r w:rsidRPr="00BF3B6F">
        <w:rPr>
          <w:rFonts w:ascii="微軟正黑體" w:eastAsia="DengXian" w:hAnsi="微軟正黑體" w:cs="新細明體"/>
          <w:b/>
          <w:bCs/>
          <w:color w:val="FFFFFF"/>
          <w:spacing w:val="23"/>
          <w:kern w:val="0"/>
          <w:sz w:val="27"/>
          <w:szCs w:val="27"/>
          <w:lang w:eastAsia="zh-CN"/>
        </w:rPr>
        <w:t>UV Curing-</w:t>
      </w:r>
      <w:r w:rsidRPr="00BF3B6F">
        <w:rPr>
          <w:rFonts w:ascii="微軟正黑體" w:eastAsia="DengXian" w:hAnsi="微軟正黑體" w:cs="新細明體" w:hint="eastAsia"/>
          <w:b/>
          <w:bCs/>
          <w:color w:val="FFFFFF"/>
          <w:spacing w:val="23"/>
          <w:kern w:val="0"/>
          <w:sz w:val="27"/>
          <w:szCs w:val="27"/>
          <w:lang w:eastAsia="zh-CN"/>
        </w:rPr>
        <w:t>紫外光固化</w:t>
      </w:r>
    </w:p>
    <w:p w14:paraId="2B014B65" w14:textId="737F683D" w:rsid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br/>
      </w:r>
      <w:r>
        <w:rPr>
          <w:noProof/>
        </w:rPr>
        <w:drawing>
          <wp:inline distT="0" distB="0" distL="0" distR="0" wp14:anchorId="4F3C14E0" wp14:editId="0A3CDFB1">
            <wp:extent cx="5274257" cy="2971165"/>
            <wp:effectExtent l="0" t="0" r="3175"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274257" cy="2971165"/>
                    </a:xfrm>
                    <a:prstGeom prst="rect">
                      <a:avLst/>
                    </a:prstGeom>
                    <a:noFill/>
                    <a:ln>
                      <a:noFill/>
                    </a:ln>
                  </pic:spPr>
                </pic:pic>
              </a:graphicData>
            </a:graphic>
          </wp:inline>
        </w:drawing>
      </w:r>
    </w:p>
    <w:p w14:paraId="08BE0C65" w14:textId="291AB87F" w:rsidR="00F05A33" w:rsidRPr="00F05A33" w:rsidRDefault="00BF3B6F" w:rsidP="00F05A33">
      <w:pPr>
        <w:widowControl/>
        <w:spacing w:line="300" w:lineRule="atLeast"/>
        <w:rPr>
          <w:rFonts w:ascii="Arial" w:eastAsia="新細明體" w:hAnsi="Arial" w:cs="Arial"/>
          <w:color w:val="555555"/>
          <w:spacing w:val="23"/>
          <w:kern w:val="0"/>
          <w:sz w:val="18"/>
          <w:szCs w:val="18"/>
        </w:rPr>
      </w:pPr>
      <w:r w:rsidRPr="00BF3B6F">
        <w:rPr>
          <w:rFonts w:ascii="Arial" w:eastAsia="DengXian" w:hAnsi="Arial" w:cs="Arial"/>
          <w:color w:val="555555"/>
          <w:spacing w:val="23"/>
          <w:kern w:val="0"/>
          <w:sz w:val="18"/>
          <w:szCs w:val="18"/>
          <w:lang w:eastAsia="zh-CN"/>
        </w:rPr>
        <w:t> </w:t>
      </w:r>
    </w:p>
    <w:tbl>
      <w:tblPr>
        <w:tblW w:w="8574" w:type="dxa"/>
        <w:tblCellSpacing w:w="0" w:type="dxa"/>
        <w:tblInd w:w="426" w:type="dxa"/>
        <w:tblCellMar>
          <w:left w:w="0" w:type="dxa"/>
          <w:right w:w="0" w:type="dxa"/>
        </w:tblCellMar>
        <w:tblLook w:val="04A0" w:firstRow="1" w:lastRow="0" w:firstColumn="1" w:lastColumn="0" w:noHBand="0" w:noVBand="1"/>
      </w:tblPr>
      <w:tblGrid>
        <w:gridCol w:w="8574"/>
      </w:tblGrid>
      <w:tr w:rsidR="00F05A33" w:rsidRPr="00F05A33" w14:paraId="5D7522DC" w14:textId="77777777" w:rsidTr="00454B8A">
        <w:trPr>
          <w:tblCellSpacing w:w="0" w:type="dxa"/>
        </w:trPr>
        <w:tc>
          <w:tcPr>
            <w:tcW w:w="8574" w:type="dxa"/>
            <w:vAlign w:val="center"/>
            <w:hideMark/>
          </w:tcPr>
          <w:p w14:paraId="7DEE41D3" w14:textId="73DBB779"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b/>
                <w:bCs/>
                <w:kern w:val="0"/>
                <w:szCs w:val="24"/>
                <w:lang w:eastAsia="zh-CN"/>
              </w:rPr>
              <w:t>UV Curing-</w:t>
            </w:r>
            <w:r w:rsidRPr="00BF3B6F">
              <w:rPr>
                <w:rFonts w:ascii="新細明體" w:eastAsia="DengXian" w:hAnsi="新細明體" w:cs="新細明體" w:hint="eastAsia"/>
                <w:b/>
                <w:bCs/>
                <w:kern w:val="0"/>
                <w:szCs w:val="24"/>
                <w:lang w:eastAsia="zh-CN"/>
              </w:rPr>
              <w:t>紫外光固化</w:t>
            </w:r>
          </w:p>
          <w:p w14:paraId="38603244" w14:textId="3D2F36A8"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kern w:val="0"/>
                <w:szCs w:val="24"/>
                <w:lang w:eastAsia="zh-CN"/>
              </w:rPr>
              <w:t>UV Curing</w:t>
            </w:r>
            <w:r w:rsidRPr="00BF3B6F">
              <w:rPr>
                <w:rFonts w:ascii="新細明體" w:eastAsia="DengXian" w:hAnsi="新細明體" w:cs="新細明體" w:hint="eastAsia"/>
                <w:kern w:val="0"/>
                <w:szCs w:val="24"/>
                <w:lang w:eastAsia="zh-CN"/>
              </w:rPr>
              <w:t>，又称</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紫外光固化</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是使用「紫外线</w:t>
            </w:r>
            <w:r w:rsidRPr="00BF3B6F">
              <w:rPr>
                <w:rFonts w:ascii="新細明體" w:eastAsia="DengXian" w:hAnsi="新細明體" w:cs="新細明體"/>
                <w:kern w:val="0"/>
                <w:szCs w:val="24"/>
                <w:lang w:eastAsia="zh-CN"/>
              </w:rPr>
              <w:t>(UV)</w:t>
            </w:r>
            <w:r w:rsidRPr="00BF3B6F">
              <w:rPr>
                <w:rFonts w:ascii="新細明體" w:eastAsia="DengXian" w:hAnsi="新細明體" w:cs="新細明體" w:hint="eastAsia"/>
                <w:kern w:val="0"/>
                <w:szCs w:val="24"/>
                <w:lang w:eastAsia="zh-CN"/>
              </w:rPr>
              <w:t>」来固化使树脂加速固态化的应用实例，这项技术具有省资源、空间、少废弃物、高产能等特性，在近年来</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环保化学</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推崇之下受到瞩目。</w:t>
            </w:r>
            <w:r w:rsidR="00F05A33" w:rsidRPr="00F05A33">
              <w:rPr>
                <w:rFonts w:ascii="新細明體" w:eastAsia="新細明體" w:hAnsi="新細明體" w:cs="新細明體"/>
                <w:kern w:val="0"/>
                <w:szCs w:val="24"/>
              </w:rPr>
              <w:br/>
            </w:r>
            <w:r w:rsidRPr="00BF3B6F">
              <w:rPr>
                <w:rFonts w:ascii="新細明體" w:eastAsia="DengXian" w:hAnsi="新細明體" w:cs="新細明體"/>
                <w:kern w:val="0"/>
                <w:szCs w:val="24"/>
                <w:lang w:eastAsia="zh-CN"/>
              </w:rPr>
              <w:t> </w:t>
            </w:r>
          </w:p>
        </w:tc>
      </w:tr>
      <w:tr w:rsidR="00F05A33" w:rsidRPr="00F05A33" w14:paraId="02BAEA8B" w14:textId="77777777" w:rsidTr="00454B8A">
        <w:trPr>
          <w:tblCellSpacing w:w="0" w:type="dxa"/>
        </w:trPr>
        <w:tc>
          <w:tcPr>
            <w:tcW w:w="8574" w:type="dxa"/>
            <w:vAlign w:val="center"/>
            <w:hideMark/>
          </w:tcPr>
          <w:p w14:paraId="71C728B0" w14:textId="4CE00487"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hint="eastAsia"/>
                <w:b/>
                <w:bCs/>
                <w:kern w:val="0"/>
                <w:szCs w:val="24"/>
                <w:lang w:eastAsia="zh-CN"/>
              </w:rPr>
              <w:t>环保化学的兴起</w:t>
            </w:r>
          </w:p>
          <w:p w14:paraId="0070CED1" w14:textId="1CB00379"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hint="eastAsia"/>
                <w:kern w:val="0"/>
                <w:szCs w:val="24"/>
                <w:lang w:eastAsia="zh-CN"/>
              </w:rPr>
              <w:t>在上两世纪前，自从工业革命改变了人类社会结构外，也大大改变了地球大自然的结构，世界各地的科学呼吁若不在对环境实施有效的治理，那么未来地球受的污染恐怕无法让人们生存下去，故环保化学的兴起就是着重在物质或反应的设计尽量不使用、不制造出有害的化合物，在制造化学产品期间，也尽量是不破坏环境的化学合成反映。在过去以往的商业活动中相比，现在当下世界各国更是注意到解决环境问题的关键，就是发起所谓的「不产生不造成污染物质」运动，这就是环保化学的兴起。</w:t>
            </w:r>
            <w:r w:rsidR="00F05A33" w:rsidRPr="00F05A33">
              <w:rPr>
                <w:rFonts w:ascii="新細明體" w:eastAsia="新細明體" w:hAnsi="新細明體" w:cs="新細明體"/>
                <w:kern w:val="0"/>
                <w:szCs w:val="24"/>
              </w:rPr>
              <w:br/>
            </w:r>
            <w:r w:rsidRPr="00BF3B6F">
              <w:rPr>
                <w:rFonts w:ascii="新細明體" w:eastAsia="DengXian" w:hAnsi="新細明體" w:cs="新細明體"/>
                <w:kern w:val="0"/>
                <w:szCs w:val="24"/>
                <w:lang w:eastAsia="zh-CN"/>
              </w:rPr>
              <w:t> </w:t>
            </w:r>
          </w:p>
        </w:tc>
      </w:tr>
      <w:tr w:rsidR="00F05A33" w:rsidRPr="00F05A33" w14:paraId="381FD219" w14:textId="77777777" w:rsidTr="00454B8A">
        <w:trPr>
          <w:tblCellSpacing w:w="0" w:type="dxa"/>
        </w:trPr>
        <w:tc>
          <w:tcPr>
            <w:tcW w:w="8574" w:type="dxa"/>
            <w:vAlign w:val="center"/>
            <w:hideMark/>
          </w:tcPr>
          <w:p w14:paraId="57C475F7" w14:textId="267AA068"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b/>
                <w:bCs/>
                <w:kern w:val="0"/>
                <w:szCs w:val="24"/>
                <w:lang w:eastAsia="zh-CN"/>
              </w:rPr>
              <w:t>UV Curing-</w:t>
            </w:r>
            <w:r w:rsidRPr="00BF3B6F">
              <w:rPr>
                <w:rFonts w:ascii="新細明體" w:eastAsia="DengXian" w:hAnsi="新細明體" w:cs="新細明體" w:hint="eastAsia"/>
                <w:b/>
                <w:bCs/>
                <w:kern w:val="0"/>
                <w:szCs w:val="24"/>
                <w:lang w:eastAsia="zh-CN"/>
              </w:rPr>
              <w:t>紫外光固化的两种类</w:t>
            </w:r>
          </w:p>
          <w:p w14:paraId="26EE7529" w14:textId="5F6AF4F4"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hint="eastAsia"/>
                <w:kern w:val="0"/>
                <w:szCs w:val="24"/>
                <w:lang w:eastAsia="zh-CN"/>
              </w:rPr>
              <w:t>紫外线（</w:t>
            </w:r>
            <w:r w:rsidRPr="00BF3B6F">
              <w:rPr>
                <w:rFonts w:ascii="新細明體" w:eastAsia="DengXian" w:hAnsi="新細明體" w:cs="新細明體"/>
                <w:kern w:val="0"/>
                <w:szCs w:val="24"/>
                <w:lang w:eastAsia="zh-CN"/>
              </w:rPr>
              <w:t>UV</w:t>
            </w:r>
            <w:r w:rsidRPr="00BF3B6F">
              <w:rPr>
                <w:rFonts w:ascii="新細明體" w:eastAsia="DengXian" w:hAnsi="新細明體" w:cs="新細明體" w:hint="eastAsia"/>
                <w:kern w:val="0"/>
                <w:szCs w:val="24"/>
                <w:lang w:eastAsia="zh-CN"/>
              </w:rPr>
              <w:t>）固化树脂等光固化材料，依据固化原理不同，可以区分成游离基化合型与阳离子化合型二大类。</w:t>
            </w:r>
          </w:p>
          <w:p w14:paraId="25116AC1" w14:textId="0328AA61"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hint="eastAsia"/>
                <w:kern w:val="0"/>
                <w:szCs w:val="24"/>
                <w:lang w:eastAsia="zh-CN"/>
              </w:rPr>
              <w:t>过去市场的主流大半是游离基化合型，但此型会出现因氧阻碍表面固化等问题，因此近年来无这一问题的阳离子型之开发快速发展，阳离子型具有随固化收缩的降低而提升密合性，或是可达到薄膜固化</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无氧气阻碍</w:t>
            </w:r>
            <w:r w:rsidRPr="00BF3B6F">
              <w:rPr>
                <w:rFonts w:ascii="新細明體" w:eastAsia="DengXian" w:hAnsi="新細明體" w:cs="新細明體"/>
                <w:kern w:val="0"/>
                <w:szCs w:val="24"/>
                <w:lang w:eastAsia="zh-CN"/>
              </w:rPr>
              <w:t>)</w:t>
            </w:r>
            <w:r w:rsidRPr="00BF3B6F">
              <w:rPr>
                <w:rFonts w:ascii="新細明體" w:eastAsia="DengXian" w:hAnsi="新細明體" w:cs="新細明體" w:hint="eastAsia"/>
                <w:kern w:val="0"/>
                <w:szCs w:val="24"/>
                <w:lang w:eastAsia="zh-CN"/>
              </w:rPr>
              <w:t>等各种特性，能弥补游离基型的缺点，可望成为拓展光固化型材料市场的新材料。</w:t>
            </w:r>
          </w:p>
          <w:p w14:paraId="2839452F" w14:textId="538199E1"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kern w:val="0"/>
                <w:szCs w:val="24"/>
                <w:lang w:eastAsia="zh-CN"/>
              </w:rPr>
              <w:lastRenderedPageBreak/>
              <w:t> </w:t>
            </w:r>
          </w:p>
        </w:tc>
      </w:tr>
      <w:tr w:rsidR="00F05A33" w:rsidRPr="00F05A33" w14:paraId="664C183F" w14:textId="77777777" w:rsidTr="00454B8A">
        <w:trPr>
          <w:tblCellSpacing w:w="0" w:type="dxa"/>
        </w:trPr>
        <w:tc>
          <w:tcPr>
            <w:tcW w:w="8574" w:type="dxa"/>
            <w:vAlign w:val="center"/>
            <w:hideMark/>
          </w:tcPr>
          <w:p w14:paraId="37CBE180" w14:textId="4B2E8B8E"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b/>
                <w:bCs/>
                <w:kern w:val="0"/>
                <w:szCs w:val="24"/>
                <w:lang w:eastAsia="zh-CN"/>
              </w:rPr>
              <w:lastRenderedPageBreak/>
              <w:t>RUCO 920UV</w:t>
            </w:r>
            <w:r w:rsidRPr="00BF3B6F">
              <w:rPr>
                <w:rFonts w:ascii="新細明體" w:eastAsia="DengXian" w:hAnsi="新細明體" w:cs="新細明體" w:hint="eastAsia"/>
                <w:b/>
                <w:bCs/>
                <w:kern w:val="0"/>
                <w:szCs w:val="24"/>
                <w:lang w:eastAsia="zh-CN"/>
              </w:rPr>
              <w:t>系列</w:t>
            </w:r>
            <w:r w:rsidRPr="00BF3B6F">
              <w:rPr>
                <w:rFonts w:ascii="新細明體" w:eastAsia="DengXian" w:hAnsi="新細明體" w:cs="新細明體"/>
                <w:b/>
                <w:bCs/>
                <w:kern w:val="0"/>
                <w:szCs w:val="24"/>
                <w:lang w:eastAsia="zh-CN"/>
              </w:rPr>
              <w:t xml:space="preserve"> - </w:t>
            </w:r>
            <w:r w:rsidRPr="00BF3B6F">
              <w:rPr>
                <w:rFonts w:ascii="新細明體" w:eastAsia="DengXian" w:hAnsi="新細明體" w:cs="新細明體" w:hint="eastAsia"/>
                <w:b/>
                <w:bCs/>
                <w:kern w:val="0"/>
                <w:szCs w:val="24"/>
                <w:lang w:eastAsia="zh-CN"/>
              </w:rPr>
              <w:t>备耐磨、耐蚀、耐候</w:t>
            </w:r>
          </w:p>
          <w:p w14:paraId="2396ABDE" w14:textId="51BE3329" w:rsidR="00F05A33" w:rsidRPr="00F05A33" w:rsidRDefault="00BF3B6F" w:rsidP="00F05A33">
            <w:pPr>
              <w:widowControl/>
              <w:rPr>
                <w:rFonts w:ascii="新細明體" w:eastAsia="新細明體" w:hAnsi="新細明體" w:cs="新細明體"/>
                <w:kern w:val="0"/>
                <w:szCs w:val="24"/>
              </w:rPr>
            </w:pPr>
            <w:r w:rsidRPr="00BF3B6F">
              <w:rPr>
                <w:rFonts w:ascii="新細明體" w:eastAsia="DengXian" w:hAnsi="新細明體" w:cs="新細明體" w:hint="eastAsia"/>
                <w:kern w:val="0"/>
                <w:szCs w:val="24"/>
                <w:lang w:eastAsia="zh-CN"/>
              </w:rPr>
              <w:t>佳因企业全台独家代理的德国</w:t>
            </w:r>
            <w:r w:rsidRPr="00BF3B6F">
              <w:rPr>
                <w:rFonts w:ascii="新細明體" w:eastAsia="DengXian" w:hAnsi="新細明體" w:cs="新細明體"/>
                <w:kern w:val="0"/>
                <w:szCs w:val="24"/>
                <w:lang w:eastAsia="zh-CN"/>
              </w:rPr>
              <w:t>RUCO 920UV</w:t>
            </w:r>
            <w:r w:rsidRPr="00BF3B6F">
              <w:rPr>
                <w:rFonts w:ascii="新細明體" w:eastAsia="DengXian" w:hAnsi="新細明體" w:cs="新細明體" w:hint="eastAsia"/>
                <w:kern w:val="0"/>
                <w:szCs w:val="24"/>
                <w:lang w:eastAsia="zh-CN"/>
              </w:rPr>
              <w:t>系列，恰巧使用了独特新配方，利用不同波常和能量让油墨连接被标记物中的单体开始聚合成聚合物，间接令油墨成膜，干燥后同时具有非常良好的附着力。同时具备耐磨、耐蚀、耐候等特性。</w:t>
            </w:r>
          </w:p>
        </w:tc>
      </w:tr>
    </w:tbl>
    <w:p w14:paraId="104B165C" w14:textId="6D582595" w:rsidR="00F05A33" w:rsidRPr="00F05A33" w:rsidRDefault="00BF3B6F" w:rsidP="00F05A33">
      <w:pPr>
        <w:widowControl/>
        <w:spacing w:line="300" w:lineRule="atLeast"/>
        <w:rPr>
          <w:rFonts w:ascii="Arial" w:eastAsia="新細明體" w:hAnsi="Arial" w:cs="Arial"/>
          <w:color w:val="555555"/>
          <w:spacing w:val="23"/>
          <w:kern w:val="0"/>
          <w:sz w:val="18"/>
          <w:szCs w:val="18"/>
        </w:rPr>
      </w:pPr>
      <w:r w:rsidRPr="00BF3B6F">
        <w:rPr>
          <w:rFonts w:ascii="Arial" w:eastAsia="DengXian" w:hAnsi="Arial" w:cs="Arial"/>
          <w:color w:val="555555"/>
          <w:spacing w:val="23"/>
          <w:kern w:val="0"/>
          <w:sz w:val="18"/>
          <w:szCs w:val="18"/>
          <w:lang w:eastAsia="zh-CN"/>
        </w:rPr>
        <w:t> </w:t>
      </w:r>
    </w:p>
    <w:p w14:paraId="2BA5895C" w14:textId="3BB3F93C" w:rsidR="00D32D04" w:rsidRPr="00F05A33" w:rsidRDefault="00BF3B6F" w:rsidP="00D32D04">
      <w:pPr>
        <w:widowControl/>
        <w:spacing w:line="300" w:lineRule="atLeast"/>
        <w:rPr>
          <w:rFonts w:ascii="Arial" w:eastAsia="新細明體" w:hAnsi="Arial" w:cs="Arial"/>
          <w:color w:val="555555"/>
          <w:spacing w:val="23"/>
          <w:kern w:val="0"/>
          <w:sz w:val="18"/>
          <w:szCs w:val="18"/>
        </w:rPr>
      </w:pPr>
      <w:r w:rsidRPr="00BF3B6F">
        <w:rPr>
          <w:rFonts w:ascii="Arial" w:eastAsia="DengXian" w:hAnsi="Arial" w:cs="Arial"/>
          <w:color w:val="555555"/>
          <w:spacing w:val="23"/>
          <w:kern w:val="0"/>
          <w:sz w:val="18"/>
          <w:szCs w:val="18"/>
          <w:lang w:eastAsia="zh-CN"/>
        </w:rPr>
        <w:t> </w:t>
      </w:r>
    </w:p>
    <w:p w14:paraId="35E28CB0" w14:textId="50B7BE64" w:rsidR="006A60A2"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br/>
      </w:r>
      <w:r w:rsidRPr="00F05A33">
        <w:rPr>
          <w:rFonts w:ascii="Arial" w:eastAsia="新細明體" w:hAnsi="Arial" w:cs="Arial"/>
          <w:noProof/>
          <w:color w:val="0000FF"/>
          <w:spacing w:val="23"/>
          <w:kern w:val="0"/>
          <w:sz w:val="18"/>
          <w:szCs w:val="18"/>
        </w:rPr>
        <w:drawing>
          <wp:inline distT="0" distB="0" distL="0" distR="0" wp14:anchorId="5F419A6E" wp14:editId="574CE9EA">
            <wp:extent cx="4381500" cy="4381500"/>
            <wp:effectExtent l="0" t="0" r="0" b="0"/>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381500" cy="4381500"/>
                    </a:xfrm>
                    <a:prstGeom prst="rect">
                      <a:avLst/>
                    </a:prstGeom>
                    <a:noFill/>
                    <a:ln>
                      <a:noFill/>
                    </a:ln>
                  </pic:spPr>
                </pic:pic>
              </a:graphicData>
            </a:graphic>
          </wp:inline>
        </w:drawing>
      </w:r>
    </w:p>
    <w:p w14:paraId="340FF1E6" w14:textId="62BFC9C9" w:rsidR="00D32D04" w:rsidRDefault="00D32D04" w:rsidP="00F05A33">
      <w:pPr>
        <w:widowControl/>
        <w:spacing w:line="300" w:lineRule="atLeast"/>
        <w:rPr>
          <w:rFonts w:ascii="Arial" w:eastAsia="新細明體" w:hAnsi="Arial" w:cs="Arial"/>
          <w:color w:val="555555"/>
          <w:spacing w:val="23"/>
          <w:kern w:val="0"/>
          <w:sz w:val="18"/>
          <w:szCs w:val="18"/>
        </w:rPr>
      </w:pPr>
    </w:p>
    <w:p w14:paraId="72AD1DED" w14:textId="7661FB3D" w:rsidR="00D32D04" w:rsidRDefault="00D32D04" w:rsidP="00F05A33">
      <w:pPr>
        <w:widowControl/>
        <w:spacing w:line="300" w:lineRule="atLeast"/>
        <w:rPr>
          <w:rFonts w:ascii="Arial" w:eastAsia="新細明體" w:hAnsi="Arial" w:cs="Arial"/>
          <w:color w:val="555555"/>
          <w:spacing w:val="23"/>
          <w:kern w:val="0"/>
          <w:sz w:val="18"/>
          <w:szCs w:val="18"/>
        </w:rPr>
      </w:pPr>
    </w:p>
    <w:p w14:paraId="27F053F7" w14:textId="27FD2523" w:rsidR="00D32D04" w:rsidRPr="00F05A33" w:rsidRDefault="00BF3B6F" w:rsidP="00F05A33">
      <w:pPr>
        <w:widowControl/>
        <w:spacing w:line="300" w:lineRule="atLeast"/>
        <w:rPr>
          <w:rFonts w:ascii="Arial" w:eastAsia="新細明體" w:hAnsi="Arial" w:cs="Arial"/>
          <w:color w:val="555555"/>
          <w:spacing w:val="23"/>
          <w:kern w:val="0"/>
          <w:sz w:val="18"/>
          <w:szCs w:val="18"/>
        </w:rPr>
      </w:pPr>
      <w:hyperlink r:id="rId9" w:history="1">
        <w:r w:rsidRPr="00BF3B6F">
          <w:rPr>
            <w:rStyle w:val="a4"/>
            <w:rFonts w:eastAsia="DengXian"/>
            <w:lang w:eastAsia="zh-CN"/>
          </w:rPr>
          <w:t>https://www.finecause.com.tw/</w:t>
        </w:r>
      </w:hyperlink>
    </w:p>
    <w:sectPr w:rsidR="00D32D04" w:rsidRPr="00F05A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3CE2" w14:textId="77777777" w:rsidR="00123490" w:rsidRDefault="00123490" w:rsidP="007F2CC4">
      <w:r>
        <w:separator/>
      </w:r>
    </w:p>
  </w:endnote>
  <w:endnote w:type="continuationSeparator" w:id="0">
    <w:p w14:paraId="146497DF" w14:textId="77777777" w:rsidR="00123490" w:rsidRDefault="00123490" w:rsidP="007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60EF" w14:textId="77777777" w:rsidR="00123490" w:rsidRDefault="00123490" w:rsidP="007F2CC4">
      <w:r>
        <w:separator/>
      </w:r>
    </w:p>
  </w:footnote>
  <w:footnote w:type="continuationSeparator" w:id="0">
    <w:p w14:paraId="4A3405CD" w14:textId="77777777" w:rsidR="00123490" w:rsidRDefault="00123490" w:rsidP="007F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33"/>
    <w:rsid w:val="00123490"/>
    <w:rsid w:val="00184D3C"/>
    <w:rsid w:val="00454B8A"/>
    <w:rsid w:val="006A60A2"/>
    <w:rsid w:val="007F2CC4"/>
    <w:rsid w:val="008E2061"/>
    <w:rsid w:val="00BF3B6F"/>
    <w:rsid w:val="00D32D04"/>
    <w:rsid w:val="00E507C1"/>
    <w:rsid w:val="00F05A33"/>
    <w:rsid w:val="00F43F27"/>
    <w:rsid w:val="00FC0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11F6F"/>
  <w15:chartTrackingRefBased/>
  <w15:docId w15:val="{E07470DC-3705-4442-B389-EDC6E1D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05A3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5A33"/>
    <w:rPr>
      <w:rFonts w:ascii="新細明體" w:eastAsia="新細明體" w:hAnsi="新細明體" w:cs="新細明體"/>
      <w:b/>
      <w:bCs/>
      <w:kern w:val="36"/>
      <w:sz w:val="48"/>
      <w:szCs w:val="48"/>
    </w:rPr>
  </w:style>
  <w:style w:type="character" w:styleId="a3">
    <w:name w:val="Strong"/>
    <w:basedOn w:val="a0"/>
    <w:uiPriority w:val="22"/>
    <w:qFormat/>
    <w:rsid w:val="00F05A33"/>
    <w:rPr>
      <w:b/>
      <w:bCs/>
    </w:rPr>
  </w:style>
  <w:style w:type="paragraph" w:styleId="Web">
    <w:name w:val="Normal (Web)"/>
    <w:basedOn w:val="a"/>
    <w:uiPriority w:val="99"/>
    <w:semiHidden/>
    <w:unhideWhenUsed/>
    <w:rsid w:val="00F05A33"/>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F05A33"/>
    <w:rPr>
      <w:color w:val="0563C1" w:themeColor="hyperlink"/>
      <w:u w:val="single"/>
    </w:rPr>
  </w:style>
  <w:style w:type="character" w:styleId="a5">
    <w:name w:val="Unresolved Mention"/>
    <w:basedOn w:val="a0"/>
    <w:uiPriority w:val="99"/>
    <w:semiHidden/>
    <w:unhideWhenUsed/>
    <w:rsid w:val="00F05A33"/>
    <w:rPr>
      <w:color w:val="605E5C"/>
      <w:shd w:val="clear" w:color="auto" w:fill="E1DFDD"/>
    </w:rPr>
  </w:style>
  <w:style w:type="paragraph" w:styleId="a6">
    <w:name w:val="header"/>
    <w:basedOn w:val="a"/>
    <w:link w:val="a7"/>
    <w:uiPriority w:val="99"/>
    <w:unhideWhenUsed/>
    <w:rsid w:val="007F2CC4"/>
    <w:pPr>
      <w:tabs>
        <w:tab w:val="center" w:pos="4153"/>
        <w:tab w:val="right" w:pos="8306"/>
      </w:tabs>
      <w:snapToGrid w:val="0"/>
    </w:pPr>
    <w:rPr>
      <w:sz w:val="20"/>
      <w:szCs w:val="20"/>
    </w:rPr>
  </w:style>
  <w:style w:type="character" w:customStyle="1" w:styleId="a7">
    <w:name w:val="頁首 字元"/>
    <w:basedOn w:val="a0"/>
    <w:link w:val="a6"/>
    <w:uiPriority w:val="99"/>
    <w:rsid w:val="007F2CC4"/>
    <w:rPr>
      <w:sz w:val="20"/>
      <w:szCs w:val="20"/>
    </w:rPr>
  </w:style>
  <w:style w:type="paragraph" w:styleId="a8">
    <w:name w:val="footer"/>
    <w:basedOn w:val="a"/>
    <w:link w:val="a9"/>
    <w:uiPriority w:val="99"/>
    <w:unhideWhenUsed/>
    <w:rsid w:val="007F2CC4"/>
    <w:pPr>
      <w:tabs>
        <w:tab w:val="center" w:pos="4153"/>
        <w:tab w:val="right" w:pos="8306"/>
      </w:tabs>
      <w:snapToGrid w:val="0"/>
    </w:pPr>
    <w:rPr>
      <w:sz w:val="20"/>
      <w:szCs w:val="20"/>
    </w:rPr>
  </w:style>
  <w:style w:type="character" w:customStyle="1" w:styleId="a9">
    <w:name w:val="頁尾 字元"/>
    <w:basedOn w:val="a0"/>
    <w:link w:val="a8"/>
    <w:uiPriority w:val="99"/>
    <w:rsid w:val="007F2C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768274">
      <w:bodyDiv w:val="1"/>
      <w:marLeft w:val="0"/>
      <w:marRight w:val="0"/>
      <w:marTop w:val="0"/>
      <w:marBottom w:val="0"/>
      <w:divBdr>
        <w:top w:val="none" w:sz="0" w:space="0" w:color="auto"/>
        <w:left w:val="none" w:sz="0" w:space="0" w:color="auto"/>
        <w:bottom w:val="none" w:sz="0" w:space="0" w:color="auto"/>
        <w:right w:val="none" w:sz="0" w:space="0" w:color="auto"/>
      </w:divBdr>
      <w:divsChild>
        <w:div w:id="636449796">
          <w:marLeft w:val="0"/>
          <w:marRight w:val="0"/>
          <w:marTop w:val="0"/>
          <w:marBottom w:val="0"/>
          <w:divBdr>
            <w:top w:val="none" w:sz="0" w:space="0" w:color="auto"/>
            <w:left w:val="none" w:sz="0" w:space="0" w:color="auto"/>
            <w:bottom w:val="none" w:sz="0" w:space="0" w:color="auto"/>
            <w:right w:val="none" w:sz="0" w:space="0" w:color="auto"/>
          </w:divBdr>
        </w:div>
        <w:div w:id="420414153">
          <w:marLeft w:val="0"/>
          <w:marRight w:val="0"/>
          <w:marTop w:val="0"/>
          <w:marBottom w:val="0"/>
          <w:divBdr>
            <w:top w:val="none" w:sz="0" w:space="0" w:color="auto"/>
            <w:left w:val="none" w:sz="0" w:space="0" w:color="auto"/>
            <w:bottom w:val="none" w:sz="0" w:space="0" w:color="auto"/>
            <w:right w:val="none" w:sz="0" w:space="0" w:color="auto"/>
          </w:divBdr>
          <w:divsChild>
            <w:div w:id="1879392194">
              <w:marLeft w:val="0"/>
              <w:marRight w:val="0"/>
              <w:marTop w:val="0"/>
              <w:marBottom w:val="0"/>
              <w:divBdr>
                <w:top w:val="none" w:sz="0" w:space="0" w:color="auto"/>
                <w:left w:val="none" w:sz="0" w:space="0" w:color="auto"/>
                <w:bottom w:val="none" w:sz="0" w:space="0" w:color="auto"/>
                <w:right w:val="none" w:sz="0" w:space="0" w:color="auto"/>
              </w:divBdr>
              <w:divsChild>
                <w:div w:id="1592615674">
                  <w:marLeft w:val="0"/>
                  <w:marRight w:val="0"/>
                  <w:marTop w:val="0"/>
                  <w:marBottom w:val="0"/>
                  <w:divBdr>
                    <w:top w:val="none" w:sz="0" w:space="0" w:color="auto"/>
                    <w:left w:val="none" w:sz="0" w:space="0" w:color="auto"/>
                    <w:bottom w:val="none" w:sz="0" w:space="0" w:color="auto"/>
                    <w:right w:val="none" w:sz="0" w:space="0" w:color="auto"/>
                  </w:divBdr>
                </w:div>
                <w:div w:id="1545171897">
                  <w:marLeft w:val="0"/>
                  <w:marRight w:val="0"/>
                  <w:marTop w:val="0"/>
                  <w:marBottom w:val="0"/>
                  <w:divBdr>
                    <w:top w:val="none" w:sz="0" w:space="0" w:color="auto"/>
                    <w:left w:val="none" w:sz="0" w:space="0" w:color="auto"/>
                    <w:bottom w:val="none" w:sz="0" w:space="0" w:color="auto"/>
                    <w:right w:val="none" w:sz="0" w:space="0" w:color="auto"/>
                  </w:divBdr>
                  <w:divsChild>
                    <w:div w:id="1128278610">
                      <w:marLeft w:val="0"/>
                      <w:marRight w:val="0"/>
                      <w:marTop w:val="0"/>
                      <w:marBottom w:val="0"/>
                      <w:divBdr>
                        <w:top w:val="none" w:sz="0" w:space="0" w:color="auto"/>
                        <w:left w:val="none" w:sz="0" w:space="0" w:color="auto"/>
                        <w:bottom w:val="none" w:sz="0" w:space="0" w:color="auto"/>
                        <w:right w:val="none" w:sz="0" w:space="0" w:color="auto"/>
                      </w:divBdr>
                    </w:div>
                    <w:div w:id="439422668">
                      <w:marLeft w:val="0"/>
                      <w:marRight w:val="0"/>
                      <w:marTop w:val="0"/>
                      <w:marBottom w:val="0"/>
                      <w:divBdr>
                        <w:top w:val="none" w:sz="0" w:space="0" w:color="auto"/>
                        <w:left w:val="none" w:sz="0" w:space="0" w:color="auto"/>
                        <w:bottom w:val="none" w:sz="0" w:space="0" w:color="auto"/>
                        <w:right w:val="none" w:sz="0" w:space="0" w:color="auto"/>
                      </w:divBdr>
                    </w:div>
                    <w:div w:id="1045368452">
                      <w:marLeft w:val="0"/>
                      <w:marRight w:val="0"/>
                      <w:marTop w:val="0"/>
                      <w:marBottom w:val="0"/>
                      <w:divBdr>
                        <w:top w:val="none" w:sz="0" w:space="0" w:color="auto"/>
                        <w:left w:val="none" w:sz="0" w:space="0" w:color="auto"/>
                        <w:bottom w:val="none" w:sz="0" w:space="0" w:color="auto"/>
                        <w:right w:val="none" w:sz="0" w:space="0" w:color="auto"/>
                      </w:divBdr>
                    </w:div>
                    <w:div w:id="1643844568">
                      <w:marLeft w:val="0"/>
                      <w:marRight w:val="0"/>
                      <w:marTop w:val="0"/>
                      <w:marBottom w:val="0"/>
                      <w:divBdr>
                        <w:top w:val="none" w:sz="0" w:space="0" w:color="auto"/>
                        <w:left w:val="none" w:sz="0" w:space="0" w:color="auto"/>
                        <w:bottom w:val="none" w:sz="0" w:space="0" w:color="auto"/>
                        <w:right w:val="none" w:sz="0" w:space="0" w:color="auto"/>
                      </w:divBdr>
                    </w:div>
                    <w:div w:id="1701052852">
                      <w:marLeft w:val="0"/>
                      <w:marRight w:val="0"/>
                      <w:marTop w:val="0"/>
                      <w:marBottom w:val="0"/>
                      <w:divBdr>
                        <w:top w:val="none" w:sz="0" w:space="0" w:color="auto"/>
                        <w:left w:val="none" w:sz="0" w:space="0" w:color="auto"/>
                        <w:bottom w:val="none" w:sz="0" w:space="0" w:color="auto"/>
                        <w:right w:val="none" w:sz="0" w:space="0" w:color="auto"/>
                      </w:divBdr>
                    </w:div>
                    <w:div w:id="1480153066">
                      <w:marLeft w:val="0"/>
                      <w:marRight w:val="0"/>
                      <w:marTop w:val="0"/>
                      <w:marBottom w:val="0"/>
                      <w:divBdr>
                        <w:top w:val="none" w:sz="0" w:space="0" w:color="auto"/>
                        <w:left w:val="none" w:sz="0" w:space="0" w:color="auto"/>
                        <w:bottom w:val="none" w:sz="0" w:space="0" w:color="auto"/>
                        <w:right w:val="none" w:sz="0" w:space="0" w:color="auto"/>
                      </w:divBdr>
                    </w:div>
                    <w:div w:id="1447694958">
                      <w:marLeft w:val="0"/>
                      <w:marRight w:val="0"/>
                      <w:marTop w:val="0"/>
                      <w:marBottom w:val="0"/>
                      <w:divBdr>
                        <w:top w:val="none" w:sz="0" w:space="0" w:color="auto"/>
                        <w:left w:val="none" w:sz="0" w:space="0" w:color="auto"/>
                        <w:bottom w:val="none" w:sz="0" w:space="0" w:color="auto"/>
                        <w:right w:val="none" w:sz="0" w:space="0" w:color="auto"/>
                      </w:divBdr>
                    </w:div>
                    <w:div w:id="10181711">
                      <w:marLeft w:val="0"/>
                      <w:marRight w:val="0"/>
                      <w:marTop w:val="0"/>
                      <w:marBottom w:val="0"/>
                      <w:divBdr>
                        <w:top w:val="none" w:sz="0" w:space="0" w:color="auto"/>
                        <w:left w:val="none" w:sz="0" w:space="0" w:color="auto"/>
                        <w:bottom w:val="none" w:sz="0" w:space="0" w:color="auto"/>
                        <w:right w:val="none" w:sz="0" w:space="0" w:color="auto"/>
                      </w:divBdr>
                    </w:div>
                    <w:div w:id="1995865855">
                      <w:marLeft w:val="0"/>
                      <w:marRight w:val="0"/>
                      <w:marTop w:val="0"/>
                      <w:marBottom w:val="0"/>
                      <w:divBdr>
                        <w:top w:val="none" w:sz="0" w:space="0" w:color="auto"/>
                        <w:left w:val="none" w:sz="0" w:space="0" w:color="auto"/>
                        <w:bottom w:val="none" w:sz="0" w:space="0" w:color="auto"/>
                        <w:right w:val="none" w:sz="0" w:space="0" w:color="auto"/>
                      </w:divBdr>
                    </w:div>
                    <w:div w:id="724451135">
                      <w:marLeft w:val="0"/>
                      <w:marRight w:val="0"/>
                      <w:marTop w:val="0"/>
                      <w:marBottom w:val="0"/>
                      <w:divBdr>
                        <w:top w:val="none" w:sz="0" w:space="0" w:color="auto"/>
                        <w:left w:val="none" w:sz="0" w:space="0" w:color="auto"/>
                        <w:bottom w:val="none" w:sz="0" w:space="0" w:color="auto"/>
                        <w:right w:val="none" w:sz="0" w:space="0" w:color="auto"/>
                      </w:divBdr>
                    </w:div>
                  </w:divsChild>
                </w:div>
                <w:div w:id="937255856">
                  <w:marLeft w:val="0"/>
                  <w:marRight w:val="0"/>
                  <w:marTop w:val="0"/>
                  <w:marBottom w:val="0"/>
                  <w:divBdr>
                    <w:top w:val="none" w:sz="0" w:space="0" w:color="auto"/>
                    <w:left w:val="none" w:sz="0" w:space="0" w:color="auto"/>
                    <w:bottom w:val="none" w:sz="0" w:space="0" w:color="auto"/>
                    <w:right w:val="none" w:sz="0" w:space="0" w:color="auto"/>
                  </w:divBdr>
                </w:div>
                <w:div w:id="179587346">
                  <w:marLeft w:val="0"/>
                  <w:marRight w:val="0"/>
                  <w:marTop w:val="0"/>
                  <w:marBottom w:val="0"/>
                  <w:divBdr>
                    <w:top w:val="none" w:sz="0" w:space="0" w:color="auto"/>
                    <w:left w:val="none" w:sz="0" w:space="0" w:color="auto"/>
                    <w:bottom w:val="none" w:sz="0" w:space="0" w:color="auto"/>
                    <w:right w:val="none" w:sz="0" w:space="0" w:color="auto"/>
                  </w:divBdr>
                </w:div>
                <w:div w:id="1724912923">
                  <w:marLeft w:val="0"/>
                  <w:marRight w:val="0"/>
                  <w:marTop w:val="0"/>
                  <w:marBottom w:val="0"/>
                  <w:divBdr>
                    <w:top w:val="none" w:sz="0" w:space="0" w:color="auto"/>
                    <w:left w:val="none" w:sz="0" w:space="0" w:color="auto"/>
                    <w:bottom w:val="none" w:sz="0" w:space="0" w:color="auto"/>
                    <w:right w:val="none" w:sz="0" w:space="0" w:color="auto"/>
                  </w:divBdr>
                </w:div>
                <w:div w:id="1275405964">
                  <w:marLeft w:val="0"/>
                  <w:marRight w:val="0"/>
                  <w:marTop w:val="0"/>
                  <w:marBottom w:val="0"/>
                  <w:divBdr>
                    <w:top w:val="none" w:sz="0" w:space="0" w:color="auto"/>
                    <w:left w:val="none" w:sz="0" w:space="0" w:color="auto"/>
                    <w:bottom w:val="none" w:sz="0" w:space="0" w:color="auto"/>
                    <w:right w:val="none" w:sz="0" w:space="0" w:color="auto"/>
                  </w:divBdr>
                </w:div>
                <w:div w:id="16167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finecause.com.tw/goods.php?act=view&amp;no=4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inecaus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Finecause</dc:creator>
  <cp:keywords/>
  <dc:description/>
  <cp:lastModifiedBy>Angelko</cp:lastModifiedBy>
  <cp:revision>4</cp:revision>
  <dcterms:created xsi:type="dcterms:W3CDTF">2020-04-14T01:54:00Z</dcterms:created>
  <dcterms:modified xsi:type="dcterms:W3CDTF">2020-09-01T08:15:00Z</dcterms:modified>
</cp:coreProperties>
</file>